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D94E" w14:textId="77777777" w:rsidR="00FA0852" w:rsidRDefault="00FA0852" w:rsidP="00CA3706">
      <w:pPr>
        <w:spacing w:before="88"/>
        <w:jc w:val="center"/>
        <w:rPr>
          <w:b/>
          <w:sz w:val="36"/>
        </w:rPr>
        <w:sectPr w:rsidR="00FA0852">
          <w:type w:val="continuous"/>
          <w:pgSz w:w="12240" w:h="15840"/>
          <w:pgMar w:top="380" w:right="1000" w:bottom="280" w:left="340" w:header="720" w:footer="720" w:gutter="0"/>
          <w:cols w:space="720"/>
        </w:sectPr>
      </w:pPr>
    </w:p>
    <w:p w14:paraId="2894A523" w14:textId="56E7B112" w:rsidR="003D1332" w:rsidRDefault="00473D56" w:rsidP="00CA3706">
      <w:pPr>
        <w:spacing w:before="88"/>
        <w:jc w:val="center"/>
        <w:rPr>
          <w:b/>
          <w:sz w:val="36"/>
        </w:rPr>
      </w:pPr>
      <w:bookmarkStart w:id="0" w:name="_Hlk85445880"/>
      <w:r>
        <w:rPr>
          <w:b/>
          <w:sz w:val="36"/>
        </w:rPr>
        <w:t>CALL FOR PRESENTERS!!!</w:t>
      </w:r>
    </w:p>
    <w:bookmarkEnd w:id="0"/>
    <w:p w14:paraId="698FFE50" w14:textId="77777777" w:rsidR="003D1332" w:rsidRDefault="003D1332">
      <w:pPr>
        <w:pStyle w:val="BodyText"/>
        <w:rPr>
          <w:b/>
        </w:rPr>
      </w:pPr>
    </w:p>
    <w:p w14:paraId="6AEABF14" w14:textId="77777777" w:rsidR="003D1332" w:rsidRDefault="003D1332" w:rsidP="00245D4D">
      <w:pPr>
        <w:pStyle w:val="BodyText"/>
        <w:spacing w:before="1"/>
        <w:ind w:right="100"/>
      </w:pPr>
    </w:p>
    <w:p w14:paraId="4AB14146" w14:textId="02F7918C" w:rsidR="003D1332" w:rsidRPr="00627E67" w:rsidRDefault="00473D56" w:rsidP="00FA0852">
      <w:pPr>
        <w:pStyle w:val="BodyText"/>
        <w:ind w:left="720" w:right="100"/>
      </w:pPr>
      <w:bookmarkStart w:id="1" w:name="_Hlk85445933"/>
      <w:r w:rsidRPr="00627E67">
        <w:t xml:space="preserve">The Southeast Desalting Association (SEDA) is developing the program for </w:t>
      </w:r>
      <w:r w:rsidR="0008495E" w:rsidRPr="00627E67">
        <w:t>its 202</w:t>
      </w:r>
      <w:r w:rsidR="00B124F2">
        <w:t>4</w:t>
      </w:r>
      <w:r w:rsidR="0008495E" w:rsidRPr="00627E67">
        <w:t xml:space="preserve"> </w:t>
      </w:r>
      <w:r w:rsidRPr="00627E67">
        <w:t xml:space="preserve">Symposium which will be </w:t>
      </w:r>
      <w:r w:rsidR="0008495E" w:rsidRPr="00627E67">
        <w:t>held</w:t>
      </w:r>
      <w:r w:rsidR="001A3C03" w:rsidRPr="00627E67">
        <w:t xml:space="preserve"> </w:t>
      </w:r>
      <w:r w:rsidR="00140177" w:rsidRPr="00627E67">
        <w:t>June</w:t>
      </w:r>
      <w:r w:rsidR="00EF03D2" w:rsidRPr="00627E67">
        <w:t xml:space="preserve"> 202</w:t>
      </w:r>
      <w:r w:rsidR="00B124F2">
        <w:t>4</w:t>
      </w:r>
      <w:r w:rsidRPr="00627E67">
        <w:t xml:space="preserve"> </w:t>
      </w:r>
      <w:r w:rsidR="00B124F2">
        <w:t>in Tampa</w:t>
      </w:r>
      <w:r w:rsidR="006A5334">
        <w:t>, Florida</w:t>
      </w:r>
    </w:p>
    <w:p w14:paraId="5075F245" w14:textId="57DC0FD1" w:rsidR="001A3C03" w:rsidRPr="00627E67" w:rsidRDefault="001A3C03" w:rsidP="00FA0852">
      <w:pPr>
        <w:pStyle w:val="BodyText"/>
        <w:ind w:left="720" w:right="100"/>
      </w:pPr>
    </w:p>
    <w:p w14:paraId="139ACDE4" w14:textId="46B7A3C7" w:rsidR="001A3C03" w:rsidRPr="00627E67" w:rsidRDefault="001A3C03" w:rsidP="001A3C03">
      <w:pPr>
        <w:pStyle w:val="BodyText"/>
        <w:ind w:left="720" w:right="100"/>
      </w:pPr>
      <w:r w:rsidRPr="00627E67">
        <w:t xml:space="preserve">The program committee has determined that the topics to be presented during the Symposium will be in the following areas, specifically with regard to membrane treatment in drinking water and wastewater </w:t>
      </w:r>
      <w:r w:rsidR="00140177" w:rsidRPr="00627E67">
        <w:t>applications.</w:t>
      </w:r>
      <w:r w:rsidRPr="00627E67">
        <w:t xml:space="preserve"> </w:t>
      </w:r>
    </w:p>
    <w:p w14:paraId="4C826503" w14:textId="77777777" w:rsidR="001A3C03" w:rsidRPr="00627E67" w:rsidRDefault="001A3C03" w:rsidP="001A3C03">
      <w:pPr>
        <w:pStyle w:val="BodyText"/>
        <w:ind w:left="720" w:right="100"/>
      </w:pPr>
    </w:p>
    <w:p w14:paraId="34D96CBC" w14:textId="77777777" w:rsidR="001A3C03" w:rsidRPr="00627E67" w:rsidRDefault="001A3C03" w:rsidP="001A3C03">
      <w:pPr>
        <w:pStyle w:val="BodyText"/>
        <w:ind w:left="720" w:right="100"/>
      </w:pPr>
      <w:r w:rsidRPr="00627E67">
        <w:t>•</w:t>
      </w:r>
      <w:r w:rsidRPr="00627E67">
        <w:tab/>
        <w:t>Reverse Osmosis and Nanofiltration (RO/NF)</w:t>
      </w:r>
    </w:p>
    <w:p w14:paraId="142D3806" w14:textId="77777777" w:rsidR="001A3C03" w:rsidRPr="00627E67" w:rsidRDefault="001A3C03" w:rsidP="001A3C03">
      <w:pPr>
        <w:pStyle w:val="BodyText"/>
        <w:ind w:left="720" w:right="100"/>
      </w:pPr>
      <w:r w:rsidRPr="00627E67">
        <w:t>•</w:t>
      </w:r>
      <w:r w:rsidRPr="00627E67">
        <w:tab/>
        <w:t>Microfiltration and Ultrafiltration (MF/UF)</w:t>
      </w:r>
    </w:p>
    <w:p w14:paraId="25CAFBD9" w14:textId="77777777" w:rsidR="001A3C03" w:rsidRPr="00627E67" w:rsidRDefault="001A3C03" w:rsidP="001A3C03">
      <w:pPr>
        <w:pStyle w:val="BodyText"/>
        <w:ind w:left="720" w:right="100"/>
      </w:pPr>
      <w:r w:rsidRPr="00627E67">
        <w:t>•</w:t>
      </w:r>
      <w:r w:rsidRPr="00627E67">
        <w:tab/>
        <w:t>Membrane Bio-Reactors (MBR)</w:t>
      </w:r>
    </w:p>
    <w:p w14:paraId="772C7A1D" w14:textId="77777777" w:rsidR="001A3C03" w:rsidRPr="00627E67" w:rsidRDefault="001A3C03" w:rsidP="001A3C03">
      <w:pPr>
        <w:pStyle w:val="BodyText"/>
        <w:ind w:left="720" w:right="100"/>
      </w:pPr>
      <w:r w:rsidRPr="00627E67">
        <w:t>•</w:t>
      </w:r>
      <w:r w:rsidRPr="00627E67">
        <w:tab/>
        <w:t>Source Water Issues and Membrane Pretreatment</w:t>
      </w:r>
    </w:p>
    <w:p w14:paraId="005592EA" w14:textId="77777777" w:rsidR="001A3C03" w:rsidRPr="00627E67" w:rsidRDefault="001A3C03" w:rsidP="001A3C03">
      <w:pPr>
        <w:pStyle w:val="BodyText"/>
        <w:ind w:left="720" w:right="100"/>
      </w:pPr>
      <w:r w:rsidRPr="00627E67">
        <w:t>•</w:t>
      </w:r>
      <w:r w:rsidRPr="00627E67">
        <w:tab/>
        <w:t>New Membrane Applications and Technologies</w:t>
      </w:r>
    </w:p>
    <w:p w14:paraId="6DF1CF88" w14:textId="77777777" w:rsidR="001A3C03" w:rsidRPr="00627E67" w:rsidRDefault="001A3C03" w:rsidP="001A3C03">
      <w:pPr>
        <w:pStyle w:val="BodyText"/>
        <w:ind w:left="720" w:right="100"/>
      </w:pPr>
      <w:r w:rsidRPr="00627E67">
        <w:t>•</w:t>
      </w:r>
      <w:r w:rsidRPr="00627E67">
        <w:tab/>
        <w:t>New Facility Case Studies</w:t>
      </w:r>
    </w:p>
    <w:p w14:paraId="70B37AE8" w14:textId="77777777" w:rsidR="001A3C03" w:rsidRPr="00627E67" w:rsidRDefault="001A3C03" w:rsidP="001A3C03">
      <w:pPr>
        <w:pStyle w:val="BodyText"/>
        <w:ind w:left="720" w:right="100"/>
      </w:pPr>
      <w:r w:rsidRPr="00627E67">
        <w:t>•</w:t>
      </w:r>
      <w:r w:rsidRPr="00627E67">
        <w:tab/>
        <w:t xml:space="preserve">Staff Training and Start-Up </w:t>
      </w:r>
    </w:p>
    <w:p w14:paraId="48B83FCA" w14:textId="7E52AFB9" w:rsidR="00FE023E" w:rsidRPr="00627E67" w:rsidRDefault="001A3C03" w:rsidP="00FE023E">
      <w:pPr>
        <w:pStyle w:val="BodyText"/>
        <w:ind w:left="720" w:right="100"/>
      </w:pPr>
      <w:r w:rsidRPr="00627E67">
        <w:t>•</w:t>
      </w:r>
      <w:r w:rsidRPr="00627E67">
        <w:tab/>
        <w:t>Case Studies - Overcoming Operations Challenges</w:t>
      </w:r>
    </w:p>
    <w:p w14:paraId="452C4E0F" w14:textId="681E614B" w:rsidR="00FE023E" w:rsidRPr="00627E67" w:rsidRDefault="00FE023E" w:rsidP="00FE023E">
      <w:pPr>
        <w:pStyle w:val="BodyText"/>
        <w:numPr>
          <w:ilvl w:val="0"/>
          <w:numId w:val="4"/>
        </w:numPr>
        <w:ind w:right="100"/>
      </w:pPr>
      <w:r w:rsidRPr="00627E67">
        <w:t xml:space="preserve">      Organizational Management</w:t>
      </w:r>
    </w:p>
    <w:p w14:paraId="70876311" w14:textId="34569CAB" w:rsidR="00A27E48" w:rsidRPr="00627E67" w:rsidRDefault="00A27E48" w:rsidP="00FE023E">
      <w:pPr>
        <w:pStyle w:val="BodyText"/>
        <w:numPr>
          <w:ilvl w:val="0"/>
          <w:numId w:val="4"/>
        </w:numPr>
        <w:ind w:right="100"/>
      </w:pPr>
      <w:r w:rsidRPr="00627E67">
        <w:t xml:space="preserve">      Regulatory Update – PFAS, Florida Potable Reuse  </w:t>
      </w:r>
    </w:p>
    <w:p w14:paraId="15BF6E1C" w14:textId="77777777" w:rsidR="001A3C03" w:rsidRPr="00627E67" w:rsidRDefault="001A3C03" w:rsidP="001A3C03">
      <w:pPr>
        <w:pStyle w:val="BodyText"/>
        <w:ind w:left="720" w:right="100"/>
      </w:pPr>
      <w:r w:rsidRPr="00627E67">
        <w:t>•</w:t>
      </w:r>
      <w:r w:rsidRPr="00627E67">
        <w:tab/>
        <w:t xml:space="preserve">Troubleshooting and Cleaning </w:t>
      </w:r>
    </w:p>
    <w:p w14:paraId="6BEFD7F9" w14:textId="1768D545" w:rsidR="001A3C03" w:rsidRPr="00627E67" w:rsidRDefault="001A3C03" w:rsidP="001A3C03">
      <w:pPr>
        <w:pStyle w:val="BodyText"/>
        <w:ind w:left="720" w:right="100"/>
      </w:pPr>
      <w:r w:rsidRPr="00627E67">
        <w:t>•</w:t>
      </w:r>
      <w:r w:rsidRPr="00627E67">
        <w:tab/>
        <w:t>Post Treatment</w:t>
      </w:r>
      <w:r w:rsidR="00FE023E" w:rsidRPr="00627E67">
        <w:t xml:space="preserve"> &amp; Distribution</w:t>
      </w:r>
    </w:p>
    <w:p w14:paraId="6B3D6750" w14:textId="0469F79A" w:rsidR="001A3C03" w:rsidRPr="00627E67" w:rsidRDefault="001A3C03" w:rsidP="001A3C03">
      <w:pPr>
        <w:pStyle w:val="BodyText"/>
        <w:ind w:left="720" w:right="100"/>
      </w:pPr>
      <w:r w:rsidRPr="00627E67">
        <w:t>•</w:t>
      </w:r>
      <w:r w:rsidRPr="00627E67">
        <w:tab/>
        <w:t>Treatment of Emerging Contaminants</w:t>
      </w:r>
      <w:r w:rsidR="00FE023E" w:rsidRPr="00627E67">
        <w:t xml:space="preserve"> (PFAS, Microplastics)</w:t>
      </w:r>
    </w:p>
    <w:p w14:paraId="2DB14BA5" w14:textId="77777777" w:rsidR="001A3C03" w:rsidRPr="00627E67" w:rsidRDefault="001A3C03" w:rsidP="001A3C03">
      <w:pPr>
        <w:pStyle w:val="BodyText"/>
        <w:ind w:left="720" w:right="100"/>
      </w:pPr>
      <w:r w:rsidRPr="00627E67">
        <w:t>•</w:t>
      </w:r>
      <w:r w:rsidRPr="00627E67">
        <w:tab/>
        <w:t>Process Instrumentation, Monitoring, and Controls</w:t>
      </w:r>
    </w:p>
    <w:p w14:paraId="05AFBBDB" w14:textId="77777777" w:rsidR="001A3C03" w:rsidRPr="00627E67" w:rsidRDefault="001A3C03" w:rsidP="001A3C03">
      <w:pPr>
        <w:pStyle w:val="BodyText"/>
        <w:ind w:left="720" w:right="100"/>
      </w:pPr>
      <w:r w:rsidRPr="00627E67">
        <w:t>•</w:t>
      </w:r>
      <w:r w:rsidRPr="00627E67">
        <w:tab/>
        <w:t>Managing and Leveraging Operating Data</w:t>
      </w:r>
    </w:p>
    <w:p w14:paraId="768C215C" w14:textId="004F614C" w:rsidR="001A3C03" w:rsidRPr="00627E67" w:rsidRDefault="001A3C03" w:rsidP="00140177">
      <w:pPr>
        <w:pStyle w:val="BodyText"/>
        <w:ind w:left="720" w:right="100"/>
      </w:pPr>
      <w:r w:rsidRPr="00627E67">
        <w:t>•</w:t>
      </w:r>
      <w:r w:rsidRPr="00627E67">
        <w:tab/>
        <w:t>Concentrate Disposal Methods and Issues</w:t>
      </w:r>
    </w:p>
    <w:p w14:paraId="78E8BB75" w14:textId="2EDF5E4A" w:rsidR="001A3C03" w:rsidRPr="00627E67" w:rsidRDefault="001A3C03" w:rsidP="001A3C03">
      <w:pPr>
        <w:pStyle w:val="BodyText"/>
        <w:ind w:left="720" w:right="100"/>
      </w:pPr>
      <w:r w:rsidRPr="00627E67">
        <w:t>•</w:t>
      </w:r>
      <w:r w:rsidRPr="00627E67">
        <w:tab/>
        <w:t>Regulatory and Permitting Issues</w:t>
      </w:r>
      <w:r w:rsidR="00FE023E" w:rsidRPr="00627E67">
        <w:t xml:space="preserve"> – Lead</w:t>
      </w:r>
      <w:r w:rsidR="00140177">
        <w:t xml:space="preserve"> &amp; </w:t>
      </w:r>
      <w:r w:rsidR="00FE023E" w:rsidRPr="00627E67">
        <w:t>Copper</w:t>
      </w:r>
    </w:p>
    <w:p w14:paraId="136C6D38" w14:textId="77777777" w:rsidR="001A3C03" w:rsidRPr="00627E67" w:rsidRDefault="001A3C03" w:rsidP="001A3C03">
      <w:pPr>
        <w:pStyle w:val="BodyText"/>
        <w:ind w:left="720" w:right="100"/>
      </w:pPr>
      <w:r w:rsidRPr="00627E67">
        <w:t>•</w:t>
      </w:r>
      <w:r w:rsidRPr="00627E67">
        <w:tab/>
        <w:t>Equipment Used in Membrane Treatment</w:t>
      </w:r>
    </w:p>
    <w:p w14:paraId="41A6BE9B" w14:textId="77777777" w:rsidR="001A3C03" w:rsidRPr="00627E67" w:rsidRDefault="001A3C03" w:rsidP="001A3C03">
      <w:pPr>
        <w:pStyle w:val="BodyText"/>
        <w:ind w:left="720" w:right="100"/>
      </w:pPr>
      <w:r w:rsidRPr="00627E67">
        <w:t>•</w:t>
      </w:r>
      <w:r w:rsidRPr="00627E67">
        <w:tab/>
        <w:t>Direct/Indirect Potable Reuse Applications</w:t>
      </w:r>
    </w:p>
    <w:p w14:paraId="30579B18" w14:textId="34EB222A" w:rsidR="001A3C03" w:rsidRPr="00627E67" w:rsidRDefault="001A3C03" w:rsidP="001A3C03">
      <w:pPr>
        <w:pStyle w:val="BodyText"/>
        <w:ind w:left="720" w:right="100"/>
      </w:pPr>
      <w:r w:rsidRPr="00627E67">
        <w:t>•</w:t>
      </w:r>
      <w:r w:rsidRPr="00627E67">
        <w:tab/>
        <w:t>Research and Innovation in Membranes</w:t>
      </w:r>
    </w:p>
    <w:p w14:paraId="746B1E1E" w14:textId="77777777" w:rsidR="003D1332" w:rsidRPr="00627E67" w:rsidRDefault="003D1332" w:rsidP="001A3C03">
      <w:pPr>
        <w:pStyle w:val="BodyText"/>
        <w:spacing w:before="1"/>
        <w:ind w:right="100"/>
      </w:pPr>
    </w:p>
    <w:p w14:paraId="0B6495F5" w14:textId="77777777" w:rsidR="00FA0852" w:rsidRPr="00627E67" w:rsidRDefault="00FA0852" w:rsidP="004B3F0D">
      <w:pPr>
        <w:tabs>
          <w:tab w:val="left" w:pos="1090"/>
          <w:tab w:val="left" w:pos="1091"/>
        </w:tabs>
        <w:spacing w:before="101" w:line="245" w:lineRule="exact"/>
        <w:rPr>
          <w:b/>
          <w:w w:val="99"/>
          <w:sz w:val="20"/>
        </w:rPr>
        <w:sectPr w:rsidR="00FA0852" w:rsidRPr="00627E67" w:rsidSect="00FA0852">
          <w:type w:val="continuous"/>
          <w:pgSz w:w="12240" w:h="15840"/>
          <w:pgMar w:top="380" w:right="1000" w:bottom="280" w:left="340" w:header="720" w:footer="720" w:gutter="0"/>
          <w:cols w:space="207"/>
        </w:sectPr>
      </w:pPr>
    </w:p>
    <w:p w14:paraId="0AF202C3" w14:textId="19E83844" w:rsidR="003D1332" w:rsidRPr="00627E67" w:rsidRDefault="00FA0852" w:rsidP="00D2096F">
      <w:pPr>
        <w:tabs>
          <w:tab w:val="left" w:pos="1800"/>
        </w:tabs>
        <w:spacing w:before="101" w:line="245" w:lineRule="exact"/>
        <w:ind w:left="1350" w:hanging="630"/>
        <w:rPr>
          <w:bCs/>
          <w:sz w:val="20"/>
        </w:rPr>
      </w:pPr>
      <w:r w:rsidRPr="00627E67">
        <w:rPr>
          <w:bCs/>
          <w:w w:val="99"/>
          <w:sz w:val="20"/>
        </w:rPr>
        <w:t>Important Dates to Remember:</w:t>
      </w:r>
    </w:p>
    <w:p w14:paraId="0160B54E" w14:textId="0B830052" w:rsidR="003D1332" w:rsidRPr="00627E67" w:rsidRDefault="00245D4D" w:rsidP="00D2096F">
      <w:pPr>
        <w:pStyle w:val="ListParagraph"/>
        <w:numPr>
          <w:ilvl w:val="0"/>
          <w:numId w:val="1"/>
        </w:numPr>
        <w:tabs>
          <w:tab w:val="left" w:pos="1710"/>
        </w:tabs>
        <w:spacing w:before="4" w:line="235" w:lineRule="auto"/>
        <w:ind w:left="1354" w:right="643" w:hanging="4"/>
        <w:rPr>
          <w:sz w:val="20"/>
        </w:rPr>
      </w:pPr>
      <w:r w:rsidRPr="00627E67">
        <w:rPr>
          <w:b/>
          <w:sz w:val="20"/>
        </w:rPr>
        <w:t>Fr</w:t>
      </w:r>
      <w:r w:rsidR="006A5334">
        <w:rPr>
          <w:b/>
          <w:sz w:val="20"/>
        </w:rPr>
        <w:t>iday, January 12, 2024</w:t>
      </w:r>
      <w:r w:rsidR="00473D56" w:rsidRPr="00627E67">
        <w:rPr>
          <w:b/>
          <w:sz w:val="20"/>
        </w:rPr>
        <w:t xml:space="preserve"> – </w:t>
      </w:r>
      <w:r w:rsidR="00473D56" w:rsidRPr="00627E67">
        <w:rPr>
          <w:sz w:val="20"/>
        </w:rPr>
        <w:t>Deadline for submission of speaker bio</w:t>
      </w:r>
      <w:r w:rsidR="00473D56" w:rsidRPr="00627E67">
        <w:rPr>
          <w:spacing w:val="-20"/>
          <w:sz w:val="20"/>
        </w:rPr>
        <w:t xml:space="preserve"> </w:t>
      </w:r>
      <w:r w:rsidR="00473D56" w:rsidRPr="00627E67">
        <w:rPr>
          <w:sz w:val="20"/>
        </w:rPr>
        <w:t>and abstract</w:t>
      </w:r>
      <w:r w:rsidR="00B85460" w:rsidRPr="00627E67">
        <w:rPr>
          <w:sz w:val="20"/>
        </w:rPr>
        <w:t xml:space="preserve"> form</w:t>
      </w:r>
    </w:p>
    <w:p w14:paraId="7618293B" w14:textId="3C358CE3" w:rsidR="003D1332" w:rsidRPr="00627E67" w:rsidRDefault="009930B1" w:rsidP="00D2096F">
      <w:pPr>
        <w:pStyle w:val="ListParagraph"/>
        <w:numPr>
          <w:ilvl w:val="0"/>
          <w:numId w:val="1"/>
        </w:numPr>
        <w:tabs>
          <w:tab w:val="left" w:pos="1710"/>
          <w:tab w:val="left" w:pos="1800"/>
        </w:tabs>
        <w:spacing w:before="3" w:line="244" w:lineRule="exact"/>
        <w:ind w:left="1354" w:hanging="4"/>
        <w:rPr>
          <w:sz w:val="20"/>
        </w:rPr>
      </w:pPr>
      <w:r w:rsidRPr="00627E67">
        <w:rPr>
          <w:b/>
          <w:sz w:val="20"/>
        </w:rPr>
        <w:t xml:space="preserve">Friday, </w:t>
      </w:r>
      <w:r w:rsidR="006A5334">
        <w:rPr>
          <w:b/>
          <w:sz w:val="20"/>
        </w:rPr>
        <w:t>February 16</w:t>
      </w:r>
      <w:r w:rsidR="00B85460" w:rsidRPr="00627E67">
        <w:rPr>
          <w:b/>
          <w:sz w:val="20"/>
        </w:rPr>
        <w:t xml:space="preserve">, </w:t>
      </w:r>
      <w:r w:rsidR="00473D56" w:rsidRPr="00627E67">
        <w:rPr>
          <w:b/>
          <w:sz w:val="20"/>
        </w:rPr>
        <w:t>20</w:t>
      </w:r>
      <w:r w:rsidR="00245D4D" w:rsidRPr="00627E67">
        <w:rPr>
          <w:b/>
          <w:sz w:val="20"/>
        </w:rPr>
        <w:t>2</w:t>
      </w:r>
      <w:r w:rsidR="00B124F2">
        <w:rPr>
          <w:b/>
          <w:sz w:val="20"/>
        </w:rPr>
        <w:t>4</w:t>
      </w:r>
      <w:r w:rsidR="00473D56" w:rsidRPr="00627E67">
        <w:rPr>
          <w:b/>
          <w:sz w:val="20"/>
        </w:rPr>
        <w:t xml:space="preserve"> – </w:t>
      </w:r>
      <w:r w:rsidR="00473D56" w:rsidRPr="00627E67">
        <w:rPr>
          <w:sz w:val="20"/>
        </w:rPr>
        <w:t>Notification of selected</w:t>
      </w:r>
      <w:r w:rsidR="00473D56" w:rsidRPr="00627E67">
        <w:rPr>
          <w:spacing w:val="-4"/>
          <w:sz w:val="20"/>
        </w:rPr>
        <w:t xml:space="preserve"> </w:t>
      </w:r>
      <w:r w:rsidR="00473D56" w:rsidRPr="00627E67">
        <w:rPr>
          <w:sz w:val="20"/>
        </w:rPr>
        <w:t>presenters</w:t>
      </w:r>
    </w:p>
    <w:p w14:paraId="17F2A99C" w14:textId="2C448694" w:rsidR="003D1332" w:rsidRPr="00140177" w:rsidRDefault="00245D4D" w:rsidP="00D2096F">
      <w:pPr>
        <w:pStyle w:val="ListParagraph"/>
        <w:numPr>
          <w:ilvl w:val="0"/>
          <w:numId w:val="1"/>
        </w:numPr>
        <w:tabs>
          <w:tab w:val="left" w:pos="1710"/>
        </w:tabs>
        <w:ind w:left="1710" w:right="442"/>
        <w:rPr>
          <w:sz w:val="20"/>
          <w:u w:val="single"/>
        </w:rPr>
      </w:pPr>
      <w:r w:rsidRPr="00627E67">
        <w:rPr>
          <w:b/>
          <w:sz w:val="20"/>
        </w:rPr>
        <w:t>Friday</w:t>
      </w:r>
      <w:r w:rsidR="00473D56" w:rsidRPr="00627E67">
        <w:rPr>
          <w:b/>
          <w:sz w:val="20"/>
        </w:rPr>
        <w:t xml:space="preserve">, </w:t>
      </w:r>
      <w:r w:rsidR="001A3C03" w:rsidRPr="00627E67">
        <w:rPr>
          <w:b/>
          <w:sz w:val="20"/>
        </w:rPr>
        <w:t xml:space="preserve">May </w:t>
      </w:r>
      <w:r w:rsidR="00627E67" w:rsidRPr="00627E67">
        <w:rPr>
          <w:b/>
          <w:sz w:val="20"/>
        </w:rPr>
        <w:t>5</w:t>
      </w:r>
      <w:r w:rsidR="00473D56" w:rsidRPr="00627E67">
        <w:rPr>
          <w:b/>
          <w:sz w:val="20"/>
        </w:rPr>
        <w:t>, 20</w:t>
      </w:r>
      <w:r w:rsidR="00E65669" w:rsidRPr="00627E67">
        <w:rPr>
          <w:b/>
          <w:sz w:val="20"/>
        </w:rPr>
        <w:t>2</w:t>
      </w:r>
      <w:r w:rsidR="00B124F2">
        <w:rPr>
          <w:b/>
          <w:sz w:val="20"/>
        </w:rPr>
        <w:t>4</w:t>
      </w:r>
      <w:r w:rsidR="00473D56" w:rsidRPr="00627E67">
        <w:rPr>
          <w:b/>
          <w:sz w:val="20"/>
        </w:rPr>
        <w:t xml:space="preserve"> </w:t>
      </w:r>
      <w:r w:rsidR="00473D56" w:rsidRPr="00627E67">
        <w:rPr>
          <w:sz w:val="20"/>
        </w:rPr>
        <w:t>–</w:t>
      </w:r>
      <w:r w:rsidR="00B85460" w:rsidRPr="00627E67">
        <w:rPr>
          <w:sz w:val="20"/>
        </w:rPr>
        <w:t xml:space="preserve"> Deadline for </w:t>
      </w:r>
      <w:r w:rsidR="00473D56" w:rsidRPr="00627E67">
        <w:rPr>
          <w:sz w:val="20"/>
        </w:rPr>
        <w:t>PowerPoint presentation</w:t>
      </w:r>
      <w:r w:rsidR="00B85460" w:rsidRPr="00627E67">
        <w:rPr>
          <w:sz w:val="20"/>
        </w:rPr>
        <w:t xml:space="preserve">s from selected speakers. Presentations </w:t>
      </w:r>
      <w:r w:rsidR="00473D56" w:rsidRPr="00627E67">
        <w:rPr>
          <w:sz w:val="20"/>
        </w:rPr>
        <w:t xml:space="preserve">must be submitted </w:t>
      </w:r>
      <w:r w:rsidR="00B85460" w:rsidRPr="00627E67">
        <w:rPr>
          <w:sz w:val="20"/>
        </w:rPr>
        <w:t>o</w:t>
      </w:r>
      <w:r w:rsidR="00473D56" w:rsidRPr="00627E67">
        <w:rPr>
          <w:sz w:val="20"/>
        </w:rPr>
        <w:t>n the template provided</w:t>
      </w:r>
      <w:r w:rsidR="00B85460" w:rsidRPr="00627E67">
        <w:rPr>
          <w:sz w:val="20"/>
        </w:rPr>
        <w:t xml:space="preserve"> by SEDA. </w:t>
      </w:r>
      <w:r w:rsidR="00B85460" w:rsidRPr="00140177">
        <w:rPr>
          <w:sz w:val="20"/>
          <w:u w:val="single"/>
        </w:rPr>
        <w:t xml:space="preserve">A technical </w:t>
      </w:r>
      <w:r w:rsidR="00473D56" w:rsidRPr="00140177">
        <w:rPr>
          <w:sz w:val="20"/>
          <w:u w:val="single"/>
        </w:rPr>
        <w:t>paper is</w:t>
      </w:r>
      <w:r w:rsidR="00473D56" w:rsidRPr="00140177">
        <w:rPr>
          <w:spacing w:val="-6"/>
          <w:sz w:val="20"/>
          <w:u w:val="single"/>
        </w:rPr>
        <w:t xml:space="preserve"> </w:t>
      </w:r>
      <w:r w:rsidRPr="00140177">
        <w:rPr>
          <w:spacing w:val="-6"/>
          <w:sz w:val="20"/>
          <w:u w:val="single"/>
        </w:rPr>
        <w:t xml:space="preserve">not </w:t>
      </w:r>
      <w:r w:rsidR="00473D56" w:rsidRPr="00140177">
        <w:rPr>
          <w:sz w:val="20"/>
          <w:u w:val="single"/>
        </w:rPr>
        <w:t>required.</w:t>
      </w:r>
    </w:p>
    <w:p w14:paraId="53617759" w14:textId="77777777" w:rsidR="003D1332" w:rsidRPr="00627E67" w:rsidRDefault="003D1332" w:rsidP="00FA0852">
      <w:pPr>
        <w:pStyle w:val="BodyText"/>
        <w:spacing w:before="9"/>
        <w:ind w:left="720"/>
        <w:rPr>
          <w:sz w:val="31"/>
        </w:rPr>
      </w:pPr>
    </w:p>
    <w:p w14:paraId="5D2C7B94" w14:textId="71D1DD05" w:rsidR="003D1332" w:rsidRPr="00627E67" w:rsidRDefault="00473D56" w:rsidP="00FA0852">
      <w:pPr>
        <w:pStyle w:val="BodyText"/>
        <w:ind w:left="720" w:right="219"/>
      </w:pPr>
      <w:r w:rsidRPr="00627E67">
        <w:t xml:space="preserve">Please </w:t>
      </w:r>
      <w:r w:rsidR="00552EF0" w:rsidRPr="00627E67">
        <w:t xml:space="preserve">contact </w:t>
      </w:r>
      <w:r w:rsidRPr="00627E67">
        <w:t xml:space="preserve">Michele Miller at </w:t>
      </w:r>
      <w:hyperlink r:id="rId5">
        <w:r w:rsidRPr="00627E67">
          <w:t xml:space="preserve">admin@southeastdesalting.com </w:t>
        </w:r>
      </w:hyperlink>
      <w:r w:rsidRPr="00627E67">
        <w:t>or 772</w:t>
      </w:r>
      <w:r w:rsidR="00140177">
        <w:t>-</w:t>
      </w:r>
      <w:r w:rsidRPr="00627E67">
        <w:t>781-7698</w:t>
      </w:r>
      <w:r w:rsidR="00552EF0" w:rsidRPr="00627E67">
        <w:t>, with any questions</w:t>
      </w:r>
      <w:r w:rsidRPr="00627E67">
        <w:t>.</w:t>
      </w:r>
    </w:p>
    <w:p w14:paraId="0E8DCC56" w14:textId="77777777" w:rsidR="003D1332" w:rsidRDefault="00473D56" w:rsidP="00FA0852">
      <w:pPr>
        <w:pStyle w:val="BodyText"/>
        <w:spacing w:before="138"/>
        <w:ind w:left="720"/>
      </w:pPr>
      <w:r w:rsidRPr="00627E67">
        <w:t>On behalf of our program committee, we look forward to receiving your submittals!</w:t>
      </w:r>
    </w:p>
    <w:bookmarkEnd w:id="1"/>
    <w:p w14:paraId="70E4C479" w14:textId="77777777" w:rsidR="003D1332" w:rsidRDefault="003D1332" w:rsidP="00FA0852">
      <w:pPr>
        <w:pStyle w:val="BodyText"/>
        <w:spacing w:before="1"/>
        <w:ind w:left="720"/>
      </w:pPr>
    </w:p>
    <w:p w14:paraId="75CCB830" w14:textId="16569CC7" w:rsidR="003D1332" w:rsidRDefault="003D1332" w:rsidP="00EF03D2">
      <w:pPr>
        <w:pStyle w:val="BodyText"/>
        <w:spacing w:line="248" w:lineRule="exact"/>
        <w:ind w:left="1610" w:right="960"/>
        <w:jc w:val="center"/>
        <w:rPr>
          <w:rFonts w:ascii="Garamond" w:hAnsi="Garamond"/>
        </w:rPr>
      </w:pPr>
    </w:p>
    <w:p w14:paraId="13C93764" w14:textId="295EBA8A" w:rsidR="00090B38" w:rsidRDefault="00090B38" w:rsidP="00EF03D2">
      <w:pPr>
        <w:pStyle w:val="BodyText"/>
        <w:spacing w:line="248" w:lineRule="exact"/>
        <w:ind w:left="1610" w:right="960"/>
        <w:jc w:val="center"/>
        <w:rPr>
          <w:rFonts w:ascii="Garamond" w:hAnsi="Garamond"/>
        </w:rPr>
      </w:pPr>
    </w:p>
    <w:p w14:paraId="3227175A" w14:textId="20B79BA8" w:rsidR="00090B38" w:rsidRDefault="00090B38" w:rsidP="00EF03D2">
      <w:pPr>
        <w:pStyle w:val="BodyText"/>
        <w:spacing w:line="248" w:lineRule="exact"/>
        <w:ind w:left="1610" w:right="960"/>
        <w:jc w:val="center"/>
        <w:rPr>
          <w:rFonts w:ascii="Garamond" w:hAnsi="Garamond"/>
        </w:rPr>
      </w:pPr>
    </w:p>
    <w:p w14:paraId="3EDB4C34" w14:textId="7E074E5D" w:rsidR="00090B38" w:rsidRDefault="00090B38" w:rsidP="00EF03D2">
      <w:pPr>
        <w:pStyle w:val="BodyText"/>
        <w:spacing w:line="248" w:lineRule="exact"/>
        <w:ind w:left="1610" w:right="960"/>
        <w:jc w:val="center"/>
        <w:rPr>
          <w:rFonts w:ascii="Garamond" w:hAnsi="Garamond"/>
        </w:rPr>
      </w:pPr>
    </w:p>
    <w:p w14:paraId="79564011" w14:textId="7CE4B6CC" w:rsidR="00090B38" w:rsidRDefault="00090B38" w:rsidP="00EF03D2">
      <w:pPr>
        <w:pStyle w:val="BodyText"/>
        <w:spacing w:line="248" w:lineRule="exact"/>
        <w:ind w:left="1610" w:right="960"/>
        <w:jc w:val="center"/>
        <w:rPr>
          <w:rFonts w:ascii="Garamond" w:hAnsi="Garamond"/>
        </w:rPr>
      </w:pPr>
    </w:p>
    <w:p w14:paraId="6D459C3A" w14:textId="22876179" w:rsidR="00090B38" w:rsidRDefault="00090B38" w:rsidP="00EF03D2">
      <w:pPr>
        <w:pStyle w:val="BodyText"/>
        <w:spacing w:line="248" w:lineRule="exact"/>
        <w:ind w:left="1610" w:right="960"/>
        <w:jc w:val="center"/>
        <w:rPr>
          <w:rFonts w:ascii="Garamond" w:hAnsi="Garamond"/>
        </w:rPr>
      </w:pPr>
    </w:p>
    <w:p w14:paraId="2EF2532F" w14:textId="77777777" w:rsidR="00090B38" w:rsidRDefault="00090B38" w:rsidP="00090B38">
      <w:pPr>
        <w:pStyle w:val="BodyText"/>
        <w:spacing w:line="248" w:lineRule="exact"/>
        <w:ind w:right="960"/>
        <w:rPr>
          <w:rFonts w:ascii="Garamond" w:hAnsi="Garamond"/>
        </w:rPr>
      </w:pPr>
    </w:p>
    <w:sectPr w:rsidR="00090B38">
      <w:type w:val="continuous"/>
      <w:pgSz w:w="12240" w:h="15840"/>
      <w:pgMar w:top="380" w:right="10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1C65"/>
    <w:multiLevelType w:val="hybridMultilevel"/>
    <w:tmpl w:val="EFBCC970"/>
    <w:lvl w:ilvl="0" w:tplc="6DD042EE">
      <w:start w:val="202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9637BC"/>
    <w:multiLevelType w:val="hybridMultilevel"/>
    <w:tmpl w:val="9C54EBA4"/>
    <w:lvl w:ilvl="0" w:tplc="B80C4B24">
      <w:numFmt w:val="bullet"/>
      <w:lvlText w:val=""/>
      <w:lvlJc w:val="left"/>
      <w:pPr>
        <w:ind w:left="821" w:hanging="269"/>
      </w:pPr>
      <w:rPr>
        <w:rFonts w:ascii="Symbol" w:eastAsia="Symbol" w:hAnsi="Symbol" w:cs="Symbol" w:hint="default"/>
        <w:w w:val="99"/>
        <w:sz w:val="20"/>
        <w:szCs w:val="20"/>
        <w:lang w:val="en-US" w:eastAsia="en-US" w:bidi="en-US"/>
      </w:rPr>
    </w:lvl>
    <w:lvl w:ilvl="1" w:tplc="20DE4082">
      <w:numFmt w:val="bullet"/>
      <w:lvlText w:val="o"/>
      <w:lvlJc w:val="left"/>
      <w:pPr>
        <w:ind w:left="1090" w:hanging="360"/>
      </w:pPr>
      <w:rPr>
        <w:rFonts w:ascii="Courier New" w:eastAsia="Courier New" w:hAnsi="Courier New" w:cs="Courier New" w:hint="default"/>
        <w:w w:val="99"/>
        <w:sz w:val="20"/>
        <w:szCs w:val="20"/>
        <w:lang w:val="en-US" w:eastAsia="en-US" w:bidi="en-US"/>
      </w:rPr>
    </w:lvl>
    <w:lvl w:ilvl="2" w:tplc="44644702">
      <w:numFmt w:val="bullet"/>
      <w:lvlText w:val="•"/>
      <w:lvlJc w:val="left"/>
      <w:pPr>
        <w:ind w:left="1389" w:hanging="360"/>
      </w:pPr>
      <w:rPr>
        <w:rFonts w:hint="default"/>
        <w:lang w:val="en-US" w:eastAsia="en-US" w:bidi="en-US"/>
      </w:rPr>
    </w:lvl>
    <w:lvl w:ilvl="3" w:tplc="76B8EEF6">
      <w:numFmt w:val="bullet"/>
      <w:lvlText w:val="•"/>
      <w:lvlJc w:val="left"/>
      <w:pPr>
        <w:ind w:left="1678" w:hanging="360"/>
      </w:pPr>
      <w:rPr>
        <w:rFonts w:hint="default"/>
        <w:lang w:val="en-US" w:eastAsia="en-US" w:bidi="en-US"/>
      </w:rPr>
    </w:lvl>
    <w:lvl w:ilvl="4" w:tplc="105CD776">
      <w:numFmt w:val="bullet"/>
      <w:lvlText w:val="•"/>
      <w:lvlJc w:val="left"/>
      <w:pPr>
        <w:ind w:left="1967" w:hanging="360"/>
      </w:pPr>
      <w:rPr>
        <w:rFonts w:hint="default"/>
        <w:lang w:val="en-US" w:eastAsia="en-US" w:bidi="en-US"/>
      </w:rPr>
    </w:lvl>
    <w:lvl w:ilvl="5" w:tplc="88107262">
      <w:numFmt w:val="bullet"/>
      <w:lvlText w:val="•"/>
      <w:lvlJc w:val="left"/>
      <w:pPr>
        <w:ind w:left="2256" w:hanging="360"/>
      </w:pPr>
      <w:rPr>
        <w:rFonts w:hint="default"/>
        <w:lang w:val="en-US" w:eastAsia="en-US" w:bidi="en-US"/>
      </w:rPr>
    </w:lvl>
    <w:lvl w:ilvl="6" w:tplc="BC3E472A">
      <w:numFmt w:val="bullet"/>
      <w:lvlText w:val="•"/>
      <w:lvlJc w:val="left"/>
      <w:pPr>
        <w:ind w:left="2545" w:hanging="360"/>
      </w:pPr>
      <w:rPr>
        <w:rFonts w:hint="default"/>
        <w:lang w:val="en-US" w:eastAsia="en-US" w:bidi="en-US"/>
      </w:rPr>
    </w:lvl>
    <w:lvl w:ilvl="7" w:tplc="AA96BFD0">
      <w:numFmt w:val="bullet"/>
      <w:lvlText w:val="•"/>
      <w:lvlJc w:val="left"/>
      <w:pPr>
        <w:ind w:left="2834" w:hanging="360"/>
      </w:pPr>
      <w:rPr>
        <w:rFonts w:hint="default"/>
        <w:lang w:val="en-US" w:eastAsia="en-US" w:bidi="en-US"/>
      </w:rPr>
    </w:lvl>
    <w:lvl w:ilvl="8" w:tplc="130298D4">
      <w:numFmt w:val="bullet"/>
      <w:lvlText w:val="•"/>
      <w:lvlJc w:val="left"/>
      <w:pPr>
        <w:ind w:left="3123" w:hanging="360"/>
      </w:pPr>
      <w:rPr>
        <w:rFonts w:hint="default"/>
        <w:lang w:val="en-US" w:eastAsia="en-US" w:bidi="en-US"/>
      </w:rPr>
    </w:lvl>
  </w:abstractNum>
  <w:abstractNum w:abstractNumId="2" w15:restartNumberingAfterBreak="0">
    <w:nsid w:val="28587881"/>
    <w:multiLevelType w:val="hybridMultilevel"/>
    <w:tmpl w:val="8C4A9EE4"/>
    <w:lvl w:ilvl="0" w:tplc="F7344680">
      <w:numFmt w:val="bullet"/>
      <w:lvlText w:val=""/>
      <w:lvlJc w:val="left"/>
      <w:pPr>
        <w:ind w:left="922" w:hanging="360"/>
      </w:pPr>
      <w:rPr>
        <w:rFonts w:ascii="Symbol" w:eastAsia="Symbol" w:hAnsi="Symbol" w:cs="Symbol" w:hint="default"/>
        <w:w w:val="99"/>
        <w:sz w:val="20"/>
        <w:szCs w:val="20"/>
        <w:lang w:val="en-US" w:eastAsia="en-US" w:bidi="en-US"/>
      </w:rPr>
    </w:lvl>
    <w:lvl w:ilvl="1" w:tplc="2E6C71C2">
      <w:numFmt w:val="bullet"/>
      <w:lvlText w:val="o"/>
      <w:lvlJc w:val="left"/>
      <w:pPr>
        <w:ind w:left="1462" w:hanging="360"/>
      </w:pPr>
      <w:rPr>
        <w:rFonts w:ascii="Courier New" w:eastAsia="Courier New" w:hAnsi="Courier New" w:cs="Courier New" w:hint="default"/>
        <w:w w:val="99"/>
        <w:sz w:val="20"/>
        <w:szCs w:val="20"/>
        <w:lang w:val="en-US" w:eastAsia="en-US" w:bidi="en-US"/>
      </w:rPr>
    </w:lvl>
    <w:lvl w:ilvl="2" w:tplc="B8FAE800">
      <w:numFmt w:val="bullet"/>
      <w:lvlText w:val="•"/>
      <w:lvlJc w:val="left"/>
      <w:pPr>
        <w:ind w:left="1779" w:hanging="360"/>
      </w:pPr>
      <w:rPr>
        <w:rFonts w:hint="default"/>
        <w:lang w:val="en-US" w:eastAsia="en-US" w:bidi="en-US"/>
      </w:rPr>
    </w:lvl>
    <w:lvl w:ilvl="3" w:tplc="F4AAC6C8">
      <w:numFmt w:val="bullet"/>
      <w:lvlText w:val="•"/>
      <w:lvlJc w:val="left"/>
      <w:pPr>
        <w:ind w:left="2098" w:hanging="360"/>
      </w:pPr>
      <w:rPr>
        <w:rFonts w:hint="default"/>
        <w:lang w:val="en-US" w:eastAsia="en-US" w:bidi="en-US"/>
      </w:rPr>
    </w:lvl>
    <w:lvl w:ilvl="4" w:tplc="6F126B3A">
      <w:numFmt w:val="bullet"/>
      <w:lvlText w:val="•"/>
      <w:lvlJc w:val="left"/>
      <w:pPr>
        <w:ind w:left="2417" w:hanging="360"/>
      </w:pPr>
      <w:rPr>
        <w:rFonts w:hint="default"/>
        <w:lang w:val="en-US" w:eastAsia="en-US" w:bidi="en-US"/>
      </w:rPr>
    </w:lvl>
    <w:lvl w:ilvl="5" w:tplc="22AA4C94">
      <w:numFmt w:val="bullet"/>
      <w:lvlText w:val="•"/>
      <w:lvlJc w:val="left"/>
      <w:pPr>
        <w:ind w:left="2736" w:hanging="360"/>
      </w:pPr>
      <w:rPr>
        <w:rFonts w:hint="default"/>
        <w:lang w:val="en-US" w:eastAsia="en-US" w:bidi="en-US"/>
      </w:rPr>
    </w:lvl>
    <w:lvl w:ilvl="6" w:tplc="2A52FDF0">
      <w:numFmt w:val="bullet"/>
      <w:lvlText w:val="•"/>
      <w:lvlJc w:val="left"/>
      <w:pPr>
        <w:ind w:left="3054" w:hanging="360"/>
      </w:pPr>
      <w:rPr>
        <w:rFonts w:hint="default"/>
        <w:lang w:val="en-US" w:eastAsia="en-US" w:bidi="en-US"/>
      </w:rPr>
    </w:lvl>
    <w:lvl w:ilvl="7" w:tplc="85CA17A2">
      <w:numFmt w:val="bullet"/>
      <w:lvlText w:val="•"/>
      <w:lvlJc w:val="left"/>
      <w:pPr>
        <w:ind w:left="3373" w:hanging="360"/>
      </w:pPr>
      <w:rPr>
        <w:rFonts w:hint="default"/>
        <w:lang w:val="en-US" w:eastAsia="en-US" w:bidi="en-US"/>
      </w:rPr>
    </w:lvl>
    <w:lvl w:ilvl="8" w:tplc="FFA4FC36">
      <w:numFmt w:val="bullet"/>
      <w:lvlText w:val="•"/>
      <w:lvlJc w:val="left"/>
      <w:pPr>
        <w:ind w:left="3692" w:hanging="360"/>
      </w:pPr>
      <w:rPr>
        <w:rFonts w:hint="default"/>
        <w:lang w:val="en-US" w:eastAsia="en-US" w:bidi="en-US"/>
      </w:rPr>
    </w:lvl>
  </w:abstractNum>
  <w:abstractNum w:abstractNumId="3" w15:restartNumberingAfterBreak="0">
    <w:nsid w:val="7BE83692"/>
    <w:multiLevelType w:val="hybridMultilevel"/>
    <w:tmpl w:val="883E181E"/>
    <w:lvl w:ilvl="0" w:tplc="86B0840C">
      <w:numFmt w:val="bullet"/>
      <w:lvlText w:val=""/>
      <w:lvlJc w:val="left"/>
      <w:pPr>
        <w:ind w:left="1810" w:hanging="360"/>
      </w:pPr>
      <w:rPr>
        <w:rFonts w:ascii="Symbol" w:eastAsia="Symbol" w:hAnsi="Symbol" w:cs="Symbol" w:hint="default"/>
        <w:w w:val="99"/>
        <w:sz w:val="20"/>
        <w:szCs w:val="20"/>
        <w:lang w:val="en-US" w:eastAsia="en-US" w:bidi="en-US"/>
      </w:rPr>
    </w:lvl>
    <w:lvl w:ilvl="1" w:tplc="5E0C7B28">
      <w:numFmt w:val="bullet"/>
      <w:lvlText w:val="•"/>
      <w:lvlJc w:val="left"/>
      <w:pPr>
        <w:ind w:left="2547" w:hanging="360"/>
      </w:pPr>
      <w:rPr>
        <w:rFonts w:hint="default"/>
        <w:lang w:val="en-US" w:eastAsia="en-US" w:bidi="en-US"/>
      </w:rPr>
    </w:lvl>
    <w:lvl w:ilvl="2" w:tplc="1F869F6E">
      <w:numFmt w:val="bullet"/>
      <w:lvlText w:val="•"/>
      <w:lvlJc w:val="left"/>
      <w:pPr>
        <w:ind w:left="3274" w:hanging="360"/>
      </w:pPr>
      <w:rPr>
        <w:rFonts w:hint="default"/>
        <w:lang w:val="en-US" w:eastAsia="en-US" w:bidi="en-US"/>
      </w:rPr>
    </w:lvl>
    <w:lvl w:ilvl="3" w:tplc="E708BF74">
      <w:numFmt w:val="bullet"/>
      <w:lvlText w:val="•"/>
      <w:lvlJc w:val="left"/>
      <w:pPr>
        <w:ind w:left="4001" w:hanging="360"/>
      </w:pPr>
      <w:rPr>
        <w:rFonts w:hint="default"/>
        <w:lang w:val="en-US" w:eastAsia="en-US" w:bidi="en-US"/>
      </w:rPr>
    </w:lvl>
    <w:lvl w:ilvl="4" w:tplc="3E744D42">
      <w:numFmt w:val="bullet"/>
      <w:lvlText w:val="•"/>
      <w:lvlJc w:val="left"/>
      <w:pPr>
        <w:ind w:left="4728" w:hanging="360"/>
      </w:pPr>
      <w:rPr>
        <w:rFonts w:hint="default"/>
        <w:lang w:val="en-US" w:eastAsia="en-US" w:bidi="en-US"/>
      </w:rPr>
    </w:lvl>
    <w:lvl w:ilvl="5" w:tplc="51CA24E2">
      <w:numFmt w:val="bullet"/>
      <w:lvlText w:val="•"/>
      <w:lvlJc w:val="left"/>
      <w:pPr>
        <w:ind w:left="5455" w:hanging="360"/>
      </w:pPr>
      <w:rPr>
        <w:rFonts w:hint="default"/>
        <w:lang w:val="en-US" w:eastAsia="en-US" w:bidi="en-US"/>
      </w:rPr>
    </w:lvl>
    <w:lvl w:ilvl="6" w:tplc="49F0DD2E">
      <w:numFmt w:val="bullet"/>
      <w:lvlText w:val="•"/>
      <w:lvlJc w:val="left"/>
      <w:pPr>
        <w:ind w:left="6182" w:hanging="360"/>
      </w:pPr>
      <w:rPr>
        <w:rFonts w:hint="default"/>
        <w:lang w:val="en-US" w:eastAsia="en-US" w:bidi="en-US"/>
      </w:rPr>
    </w:lvl>
    <w:lvl w:ilvl="7" w:tplc="C78E0482">
      <w:numFmt w:val="bullet"/>
      <w:lvlText w:val="•"/>
      <w:lvlJc w:val="left"/>
      <w:pPr>
        <w:ind w:left="6909" w:hanging="360"/>
      </w:pPr>
      <w:rPr>
        <w:rFonts w:hint="default"/>
        <w:lang w:val="en-US" w:eastAsia="en-US" w:bidi="en-US"/>
      </w:rPr>
    </w:lvl>
    <w:lvl w:ilvl="8" w:tplc="5DBA36BC">
      <w:numFmt w:val="bullet"/>
      <w:lvlText w:val="•"/>
      <w:lvlJc w:val="left"/>
      <w:pPr>
        <w:ind w:left="7636" w:hanging="360"/>
      </w:pPr>
      <w:rPr>
        <w:rFonts w:hint="default"/>
        <w:lang w:val="en-US" w:eastAsia="en-US" w:bidi="en-US"/>
      </w:rPr>
    </w:lvl>
  </w:abstractNum>
  <w:num w:numId="1" w16cid:durableId="1678382309">
    <w:abstractNumId w:val="3"/>
  </w:num>
  <w:num w:numId="2" w16cid:durableId="1949851915">
    <w:abstractNumId w:val="2"/>
  </w:num>
  <w:num w:numId="3" w16cid:durableId="83035332">
    <w:abstractNumId w:val="1"/>
  </w:num>
  <w:num w:numId="4" w16cid:durableId="450124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2"/>
    <w:rsid w:val="0001663D"/>
    <w:rsid w:val="0008495E"/>
    <w:rsid w:val="00090B38"/>
    <w:rsid w:val="000C154E"/>
    <w:rsid w:val="00140177"/>
    <w:rsid w:val="001A3C03"/>
    <w:rsid w:val="00245D4D"/>
    <w:rsid w:val="002B1BD7"/>
    <w:rsid w:val="003812CB"/>
    <w:rsid w:val="003D1332"/>
    <w:rsid w:val="003F35AD"/>
    <w:rsid w:val="00473D56"/>
    <w:rsid w:val="004B3F0D"/>
    <w:rsid w:val="00552EF0"/>
    <w:rsid w:val="00627E67"/>
    <w:rsid w:val="006A5334"/>
    <w:rsid w:val="008218B8"/>
    <w:rsid w:val="00834ED8"/>
    <w:rsid w:val="008E3186"/>
    <w:rsid w:val="009930B1"/>
    <w:rsid w:val="009A59BC"/>
    <w:rsid w:val="00A06789"/>
    <w:rsid w:val="00A27E48"/>
    <w:rsid w:val="00B124F2"/>
    <w:rsid w:val="00B85460"/>
    <w:rsid w:val="00C9194B"/>
    <w:rsid w:val="00CA3706"/>
    <w:rsid w:val="00D2096F"/>
    <w:rsid w:val="00E65669"/>
    <w:rsid w:val="00EF03D2"/>
    <w:rsid w:val="00FA0852"/>
    <w:rsid w:val="00FD6667"/>
    <w:rsid w:val="00FE023E"/>
    <w:rsid w:val="00FF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058"/>
  <w15:docId w15:val="{96DE50F0-139A-4D7A-9024-D5C3FD26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8495E"/>
    <w:rPr>
      <w:rFonts w:ascii="Tahoma" w:hAnsi="Tahoma" w:cs="Tahoma"/>
      <w:sz w:val="16"/>
      <w:szCs w:val="16"/>
    </w:rPr>
  </w:style>
  <w:style w:type="character" w:customStyle="1" w:styleId="BalloonTextChar">
    <w:name w:val="Balloon Text Char"/>
    <w:basedOn w:val="DefaultParagraphFont"/>
    <w:link w:val="BalloonText"/>
    <w:uiPriority w:val="99"/>
    <w:semiHidden/>
    <w:rsid w:val="0008495E"/>
    <w:rPr>
      <w:rFonts w:ascii="Tahoma" w:eastAsia="Arial" w:hAnsi="Tahoma" w:cs="Tahoma"/>
      <w:sz w:val="16"/>
      <w:szCs w:val="16"/>
      <w:lang w:bidi="en-US"/>
    </w:rPr>
  </w:style>
  <w:style w:type="character" w:styleId="Hyperlink">
    <w:name w:val="Hyperlink"/>
    <w:basedOn w:val="DefaultParagraphFont"/>
    <w:uiPriority w:val="99"/>
    <w:unhideWhenUsed/>
    <w:rsid w:val="003F35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5722">
      <w:bodyDiv w:val="1"/>
      <w:marLeft w:val="0"/>
      <w:marRight w:val="0"/>
      <w:marTop w:val="0"/>
      <w:marBottom w:val="0"/>
      <w:divBdr>
        <w:top w:val="none" w:sz="0" w:space="0" w:color="auto"/>
        <w:left w:val="none" w:sz="0" w:space="0" w:color="auto"/>
        <w:bottom w:val="none" w:sz="0" w:space="0" w:color="auto"/>
        <w:right w:val="none" w:sz="0" w:space="0" w:color="auto"/>
      </w:divBdr>
    </w:div>
    <w:div w:id="1358235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southeastdesal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Director/President</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Director/President</dc:title>
  <dc:creator>Jim Reynolds</dc:creator>
  <cp:lastModifiedBy>Michele Miller</cp:lastModifiedBy>
  <cp:revision>5</cp:revision>
  <cp:lastPrinted>2019-10-23T20:34:00Z</cp:lastPrinted>
  <dcterms:created xsi:type="dcterms:W3CDTF">2023-10-11T14:02:00Z</dcterms:created>
  <dcterms:modified xsi:type="dcterms:W3CDTF">2023-12-07T14:38:00Z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Microsoft® Word 2016</vt:lpwstr>
  </property>
  <property fmtid="{D5CDD505-2E9C-101B-9397-08002B2CF9AE}" pid="4" name="LastSaved">
    <vt:filetime>2018-08-13T00:00:00Z</vt:filetime>
  </property>
</Properties>
</file>